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9BFA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506589</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0C560141">
      <w:pPr>
        <w:tabs>
          <w:tab w:val="left" w:pos="1985"/>
        </w:tabs>
        <w:rPr>
          <w:rFonts w:ascii="Times New Roman" w:hAnsi="Times New Roman"/>
          <w:b/>
          <w:sz w:val="22"/>
          <w:highlight w:val="none"/>
        </w:rPr>
      </w:pPr>
    </w:p>
    <w:p w14:paraId="59468D55">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29</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1F1B280F">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5D3DC2C7">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event triggered L1 measurement reporting</w:t>
      </w:r>
    </w:p>
    <w:bookmarkEnd w:id="4"/>
    <w:bookmarkEnd w:id="5"/>
    <w:p w14:paraId="58A2DA4F">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41F9F1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72C029F">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E7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26186E9">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5FA70F8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event triggered L1 measurement reporting</w:t>
      </w:r>
      <w:r>
        <w:rPr>
          <w:rFonts w:hint="eastAsia" w:ascii="Times New Roman" w:hAnsi="Times New Roman"/>
          <w:sz w:val="20"/>
          <w:szCs w:val="20"/>
        </w:rPr>
        <w:t>.</w:t>
      </w:r>
    </w:p>
    <w:p w14:paraId="5708A40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E5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C38BE20">
            <w:pPr>
              <w:pStyle w:val="5"/>
              <w:numPr>
                <w:ilvl w:val="0"/>
                <w:numId w:val="0"/>
              </w:numPr>
              <w:tabs>
                <w:tab w:val="left" w:pos="432"/>
                <w:tab w:val="clear" w:pos="864"/>
              </w:tabs>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2-2: Event triggered reporting delay for L1 reporting</w:t>
            </w:r>
          </w:p>
          <w:p w14:paraId="5E32E354">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Agreement:</w:t>
            </w:r>
          </w:p>
          <w:p w14:paraId="6147E58E">
            <w:pPr>
              <w:pStyle w:val="14"/>
              <w:numPr>
                <w:ilvl w:val="0"/>
                <w:numId w:val="4"/>
              </w:numPr>
              <w:spacing w:after="120"/>
              <w:ind w:firstLineChars="0"/>
              <w:rPr>
                <w:rFonts w:hint="default" w:ascii="Times New Roman" w:hAnsi="Times New Roman" w:cs="Times New Roman"/>
                <w:bCs/>
                <w:color w:val="000000" w:themeColor="text1"/>
                <w:sz w:val="20"/>
                <w:szCs w:val="20"/>
                <w:highlight w:val="none"/>
                <w:u w:val="single"/>
                <w14:textFill>
                  <w14:solidFill>
                    <w14:schemeClr w14:val="tx1"/>
                  </w14:solidFill>
                </w14:textFill>
              </w:rPr>
            </w:pPr>
            <w:r>
              <w:rPr>
                <w:rFonts w:hint="default" w:ascii="Times New Roman" w:hAnsi="Times New Roman" w:cs="Times New Roman"/>
                <w:bCs/>
                <w:color w:val="000000" w:themeColor="text1"/>
                <w:sz w:val="20"/>
                <w:szCs w:val="20"/>
                <w:highlight w:val="none"/>
                <w14:textFill>
                  <w14:solidFill>
                    <w14:schemeClr w14:val="tx1"/>
                  </w14:solidFill>
                </w14:textFill>
              </w:rPr>
              <w:t xml:space="preserve">Reuse the framework from L3 event triggered reporting. Discuss the details further. </w:t>
            </w:r>
          </w:p>
          <w:p w14:paraId="19697AFB">
            <w:pPr>
              <w:numPr>
                <w:ilvl w:val="0"/>
                <w:numId w:val="0"/>
              </w:numPr>
              <w:overflowPunct w:val="0"/>
              <w:autoSpaceDE w:val="0"/>
              <w:autoSpaceDN w:val="0"/>
              <w:adjustRightInd w:val="0"/>
              <w:snapToGrid w:val="0"/>
              <w:spacing w:after="120"/>
              <w:rPr>
                <w:rFonts w:hint="default" w:ascii="Times New Roman" w:hAnsi="Times New Roman" w:cs="Times New Roman"/>
                <w:sz w:val="20"/>
                <w:szCs w:val="20"/>
                <w:vertAlign w:val="baseline"/>
                <w:lang w:val="en-US" w:eastAsia="zh-CN"/>
              </w:rPr>
            </w:pPr>
          </w:p>
        </w:tc>
      </w:tr>
    </w:tbl>
    <w:p w14:paraId="31B30DC6">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0AB912D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previous discussion, one of the issue is how to handle the case that measurement period of the cells corresponding to the event are different, i.e. RS periodicity for candidate cell and serving cell are different. In this case, it is possible that the report is triggered by old measurement results of the cell which have longer RS period. This issue also exists in legacy L3 measurement report, no explicit clarification are made. One way is to follow L3 approach and do not have further clarification. The other way is to make it clear. We do not have strong view on which way to go. If it is agreed to make it clear in L1 measurement report, how to make the clarification need to be discussed. According to the discussion in last meeting, there are two options.</w:t>
      </w:r>
    </w:p>
    <w:p w14:paraId="48307681">
      <w:pPr>
        <w:pStyle w:val="14"/>
        <w:numPr>
          <w:ilvl w:val="0"/>
          <w:numId w:val="5"/>
        </w:numPr>
        <w:overflowPunct/>
        <w:autoSpaceDE/>
        <w:autoSpaceDN/>
        <w:adjustRightInd/>
        <w:snapToGrid w:val="0"/>
        <w:spacing w:after="120"/>
        <w:ind w:left="420" w:leftChars="0" w:hanging="4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Option 1: </w:t>
      </w:r>
      <w:r>
        <w:rPr>
          <w:rFonts w:hint="default" w:ascii="Times New Roman" w:hAnsi="Times New Roman" w:cs="Times New Roman"/>
          <w:sz w:val="20"/>
          <w:szCs w:val="20"/>
        </w:rPr>
        <w:t xml:space="preserve">the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 xml:space="preserve">L1_measurement period </w:t>
      </w:r>
      <w:r>
        <w:rPr>
          <w:rFonts w:hint="default" w:ascii="Times New Roman" w:hAnsi="Times New Roman" w:cs="Times New Roman"/>
          <w:sz w:val="20"/>
          <w:szCs w:val="20"/>
        </w:rPr>
        <w:t xml:space="preserve">is </w:t>
      </w:r>
      <w:r>
        <w:rPr>
          <w:rFonts w:hint="default" w:ascii="Times New Roman" w:hAnsi="Times New Roman" w:cs="Times New Roman"/>
          <w:b w:val="0"/>
          <w:bCs/>
          <w:sz w:val="20"/>
          <w:szCs w:val="20"/>
        </w:rPr>
        <w:t>maximum</w:t>
      </w:r>
      <w:r>
        <w:rPr>
          <w:rFonts w:hint="default" w:ascii="Times New Roman" w:hAnsi="Times New Roman" w:cs="Times New Roman"/>
          <w:sz w:val="20"/>
          <w:szCs w:val="20"/>
        </w:rPr>
        <w:t xml:space="preserve"> of the L1 measurement periods to measure both current beam and new beams.</w:t>
      </w:r>
    </w:p>
    <w:p w14:paraId="66905A1E">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rPr>
        <w:t xml:space="preserve">Option 2: </w:t>
      </w:r>
      <w:r>
        <w:rPr>
          <w:rFonts w:hint="default" w:ascii="Times New Roman" w:hAnsi="Times New Roman" w:cs="Times New Roman"/>
          <w:sz w:val="20"/>
          <w:szCs w:val="20"/>
        </w:rPr>
        <w:t xml:space="preserve">If the event is triggered by the </w:t>
      </w:r>
      <w:r>
        <w:rPr>
          <w:rFonts w:hint="eastAsia" w:ascii="Times New Roman" w:hAnsi="Times New Roman" w:cs="Times New Roman"/>
          <w:sz w:val="20"/>
          <w:szCs w:val="20"/>
          <w:lang w:val="en-US" w:eastAsia="zh-CN"/>
        </w:rPr>
        <w:t>serving cell</w:t>
      </w:r>
      <w:r>
        <w:rPr>
          <w:rFonts w:hint="default" w:ascii="Times New Roman" w:hAnsi="Times New Roman" w:cs="Times New Roman"/>
          <w:sz w:val="20"/>
          <w:szCs w:val="20"/>
        </w:rPr>
        <w:t xml:space="preserve"> measurement, the event triggered measurement delay is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L1_measurement periods_</w:t>
      </w:r>
      <w:r>
        <w:rPr>
          <w:rFonts w:hint="eastAsia" w:ascii="Times New Roman" w:hAnsi="Times New Roman" w:cs="Times New Roman"/>
          <w:sz w:val="20"/>
          <w:szCs w:val="20"/>
          <w:vertAlign w:val="subscript"/>
          <w:lang w:val="en-US" w:eastAsia="zh-CN"/>
        </w:rPr>
        <w:t>serving cell</w:t>
      </w:r>
      <w:r>
        <w:rPr>
          <w:rFonts w:hint="default" w:ascii="Times New Roman" w:hAnsi="Times New Roman" w:cs="Times New Roman"/>
          <w:sz w:val="20"/>
          <w:szCs w:val="20"/>
        </w:rPr>
        <w:t>. If the event is triggered by the</w:t>
      </w:r>
      <w:r>
        <w:rPr>
          <w:rFonts w:hint="eastAsia" w:ascii="Times New Roman" w:hAnsi="Times New Roman" w:cs="Times New Roman"/>
          <w:sz w:val="20"/>
          <w:szCs w:val="20"/>
          <w:lang w:val="en-US" w:eastAsia="zh-CN"/>
        </w:rPr>
        <w:t xml:space="preserve"> candidate cell</w:t>
      </w:r>
      <w:r>
        <w:rPr>
          <w:rFonts w:hint="default" w:ascii="Times New Roman" w:hAnsi="Times New Roman" w:cs="Times New Roman"/>
          <w:sz w:val="20"/>
          <w:szCs w:val="20"/>
        </w:rPr>
        <w:t xml:space="preserve"> measurement, the event triggered measurement delay is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L1_measurement periods_candidate cell</w:t>
      </w:r>
      <w:r>
        <w:rPr>
          <w:rFonts w:hint="default" w:ascii="Times New Roman" w:hAnsi="Times New Roman" w:cs="Times New Roman"/>
          <w:sz w:val="20"/>
          <w:szCs w:val="20"/>
        </w:rPr>
        <w:t>.</w:t>
      </w:r>
    </w:p>
    <w:p w14:paraId="06528E0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Our preference is option 2. The reason is that for option 1 with maximum </w:t>
      </w:r>
      <w:r>
        <w:rPr>
          <w:rFonts w:hint="default" w:ascii="Times New Roman" w:hAnsi="Times New Roman" w:cs="Times New Roman"/>
          <w:sz w:val="20"/>
          <w:szCs w:val="20"/>
        </w:rPr>
        <w:t>of the L1 measurement periods to measure both current beam and new beams</w:t>
      </w:r>
      <w:r>
        <w:rPr>
          <w:rFonts w:hint="eastAsia" w:ascii="Times New Roman" w:hAnsi="Times New Roman" w:cs="Times New Roman"/>
          <w:sz w:val="20"/>
          <w:szCs w:val="20"/>
          <w:lang w:val="en-US" w:eastAsia="zh-CN"/>
        </w:rPr>
        <w:t>, the potential issue is that option 1 may delay the report. Even with shorter RS periodicity, UE may evaluate the event only during the longest measurement intervals. Based on above consideration, option 2 is preferred.</w:t>
      </w:r>
    </w:p>
    <w:p w14:paraId="2CC109F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default" w:ascii="Times New Roman" w:hAnsi="Times New Roman" w:cs="Times New Roman"/>
          <w:b/>
          <w:bCs/>
          <w:i/>
          <w:iCs/>
          <w:sz w:val="20"/>
          <w:szCs w:val="20"/>
        </w:rPr>
        <w:t xml:space="preserve">If the event is triggered by the </w:t>
      </w:r>
      <w:r>
        <w:rPr>
          <w:rFonts w:hint="eastAsia" w:ascii="Times New Roman" w:hAnsi="Times New Roman" w:cs="Times New Roman"/>
          <w:b/>
          <w:bCs/>
          <w:i/>
          <w:iCs/>
          <w:sz w:val="20"/>
          <w:szCs w:val="20"/>
          <w:lang w:val="en-US" w:eastAsia="zh-CN"/>
        </w:rPr>
        <w:t>serving cell</w:t>
      </w:r>
      <w:r>
        <w:rPr>
          <w:rFonts w:hint="default" w:ascii="Times New Roman" w:hAnsi="Times New Roman" w:cs="Times New Roman"/>
          <w:b/>
          <w:bCs/>
          <w:i/>
          <w:iCs/>
          <w:sz w:val="20"/>
          <w:szCs w:val="20"/>
        </w:rPr>
        <w:t xml:space="preserve"> measurement, </w:t>
      </w:r>
      <w:r>
        <w:rPr>
          <w:rFonts w:hint="eastAsia"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rPr>
        <w:t xml:space="preserve">he event triggered measurement reporting delay shall be no larger than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w:t>
      </w:r>
      <w:r>
        <w:rPr>
          <w:rFonts w:hint="eastAsia" w:ascii="Times New Roman" w:hAnsi="Times New Roman" w:cs="Times New Roman"/>
          <w:b/>
          <w:bCs/>
          <w:i/>
          <w:iCs/>
          <w:sz w:val="20"/>
          <w:szCs w:val="20"/>
          <w:vertAlign w:val="subscript"/>
          <w:lang w:val="en-US" w:eastAsia="zh-CN"/>
        </w:rPr>
        <w:t>serving cell</w:t>
      </w:r>
      <w:r>
        <w:rPr>
          <w:rFonts w:hint="default" w:ascii="Times New Roman" w:hAnsi="Times New Roman" w:cs="Times New Roman"/>
          <w:b/>
          <w:bCs/>
          <w:i/>
          <w:iCs/>
          <w:sz w:val="20"/>
          <w:szCs w:val="20"/>
        </w:rPr>
        <w:t>. If the event is triggered by the</w:t>
      </w:r>
      <w:r>
        <w:rPr>
          <w:rFonts w:hint="eastAsia" w:ascii="Times New Roman" w:hAnsi="Times New Roman" w:cs="Times New Roman"/>
          <w:b/>
          <w:bCs/>
          <w:i/>
          <w:iCs/>
          <w:sz w:val="20"/>
          <w:szCs w:val="20"/>
          <w:lang w:val="en-US" w:eastAsia="zh-CN"/>
        </w:rPr>
        <w:t xml:space="preserve"> candidate cell</w:t>
      </w:r>
      <w:r>
        <w:rPr>
          <w:rFonts w:hint="default" w:ascii="Times New Roman" w:hAnsi="Times New Roman" w:cs="Times New Roman"/>
          <w:b/>
          <w:bCs/>
          <w:i/>
          <w:iCs/>
          <w:sz w:val="20"/>
          <w:szCs w:val="20"/>
        </w:rPr>
        <w:t xml:space="preserve"> measurement, </w:t>
      </w:r>
      <w:r>
        <w:rPr>
          <w:rFonts w:hint="eastAsia"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rPr>
        <w:t xml:space="preserve">he event triggered measurement reporting delay shall be no larger than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periods_candidate cell</w:t>
      </w:r>
      <w:r>
        <w:rPr>
          <w:rFonts w:hint="default" w:ascii="Times New Roman" w:hAnsi="Times New Roman" w:cs="Times New Roman"/>
          <w:b/>
          <w:bCs/>
          <w:i/>
          <w:iCs/>
          <w:sz w:val="20"/>
          <w:szCs w:val="20"/>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4EF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B4044D3">
            <w:pPr>
              <w:pStyle w:val="5"/>
              <w:numPr>
                <w:ilvl w:val="0"/>
                <w:numId w:val="0"/>
              </w:numPr>
              <w:tabs>
                <w:tab w:val="left" w:pos="432"/>
                <w:tab w:val="clear" w:pos="864"/>
              </w:tabs>
              <w:rPr>
                <w:rFonts w:hint="default" w:ascii="Times New Roman" w:hAnsi="Times New Roman" w:cs="Times New Roman"/>
                <w:b/>
                <w:bCs/>
                <w:sz w:val="20"/>
                <w:szCs w:val="20"/>
                <w:highlight w:val="none"/>
                <w:u w:val="single"/>
                <w:lang w:val="en-US"/>
              </w:rPr>
            </w:pPr>
            <w:r>
              <w:rPr>
                <w:rFonts w:hint="default" w:ascii="Times New Roman" w:hAnsi="Times New Roman" w:cs="Times New Roman"/>
                <w:b/>
                <w:bCs/>
                <w:sz w:val="20"/>
                <w:szCs w:val="20"/>
                <w:highlight w:val="none"/>
                <w:u w:val="single"/>
                <w:lang w:val="en-US"/>
              </w:rPr>
              <w:t>Issue 2-3: whether to introduce/update requirements for reporting criteria per measurement category</w:t>
            </w:r>
          </w:p>
          <w:p w14:paraId="5B9D2586">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Candidate options:</w:t>
            </w:r>
          </w:p>
          <w:p w14:paraId="36B55B79">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1: Yes (Xiaomi, CMCC, ZTE, CTC, vivo)</w:t>
            </w:r>
          </w:p>
          <w:p w14:paraId="63D273F8">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14:textFill>
                  <w14:solidFill>
                    <w14:schemeClr w14:val="tx1"/>
                  </w14:solidFill>
                </w14:textFill>
              </w:rPr>
            </w:pPr>
            <w:r>
              <w:rPr>
                <w:rFonts w:hint="default" w:ascii="Times New Roman" w:hAnsi="Times New Roman" w:eastAsia="宋体" w:cs="Times New Roman"/>
                <w:color w:val="000000" w:themeColor="text1"/>
                <w:sz w:val="20"/>
                <w:szCs w:val="20"/>
                <w:highlight w:val="none"/>
                <w14:textFill>
                  <w14:solidFill>
                    <w14:schemeClr w14:val="tx1"/>
                  </w14:solidFill>
                </w14:textFill>
              </w:rPr>
              <w:t>Option 2: assuming new UE capabilities regarding support of event triggering needs to be introduced, RAN4 shall discuss whether it is still necessary to update/introduce new Event Triggering and Reporting Criteria for LTM. (Apple)</w:t>
            </w:r>
          </w:p>
          <w:p w14:paraId="213EF230">
            <w:pPr>
              <w:rPr>
                <w:rFonts w:hint="default" w:ascii="Times New Roman" w:hAnsi="Times New Roman" w:cs="Times New Roman"/>
                <w:sz w:val="20"/>
                <w:szCs w:val="20"/>
                <w:highlight w:val="none"/>
              </w:rPr>
            </w:pPr>
          </w:p>
          <w:p w14:paraId="06DDE3E6">
            <w:pPr>
              <w:pStyle w:val="5"/>
              <w:numPr>
                <w:ilvl w:val="0"/>
                <w:numId w:val="0"/>
              </w:numPr>
              <w:tabs>
                <w:tab w:val="left" w:pos="432"/>
                <w:tab w:val="clear" w:pos="864"/>
              </w:tabs>
              <w:rPr>
                <w:rFonts w:hint="default" w:ascii="Times New Roman" w:hAnsi="Times New Roman" w:cs="Times New Roman"/>
                <w:b/>
                <w:bCs/>
                <w:sz w:val="20"/>
                <w:szCs w:val="20"/>
                <w:highlight w:val="none"/>
                <w:u w:val="single"/>
                <w:lang w:val="en-US"/>
              </w:rPr>
            </w:pPr>
            <w:r>
              <w:rPr>
                <w:rFonts w:hint="default" w:ascii="Times New Roman" w:hAnsi="Times New Roman" w:cs="Times New Roman"/>
                <w:b/>
                <w:bCs/>
                <w:sz w:val="20"/>
                <w:szCs w:val="20"/>
                <w:highlight w:val="none"/>
                <w:u w:val="single"/>
                <w:lang w:val="en-US"/>
              </w:rPr>
              <w:t xml:space="preserve">Issue 2-4: whether to define a </w:t>
            </w:r>
            <w:r>
              <w:rPr>
                <w:rFonts w:hint="default" w:ascii="Times New Roman" w:hAnsi="Times New Roman" w:cs="Times New Roman"/>
                <w:b/>
                <w:bCs/>
                <w:color w:val="000000" w:themeColor="text1"/>
                <w:sz w:val="20"/>
                <w:szCs w:val="20"/>
                <w:highlight w:val="none"/>
                <w:u w:val="single"/>
                <w:lang w:val="en-US"/>
                <w14:textFill>
                  <w14:solidFill>
                    <w14:schemeClr w14:val="tx1"/>
                  </w14:solidFill>
                </w14:textFill>
              </w:rPr>
              <w:t>separate capability for supported number of events triggered L1 measurement reporting</w:t>
            </w:r>
          </w:p>
          <w:p w14:paraId="097C9479">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Candidate options:</w:t>
            </w:r>
          </w:p>
          <w:p w14:paraId="0B5895FD">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14:textFill>
                  <w14:solidFill>
                    <w14:schemeClr w14:val="tx1"/>
                  </w14:solidFill>
                </w14:textFill>
              </w:rPr>
            </w:pPr>
            <w:r>
              <w:rPr>
                <w:rFonts w:hint="default" w:ascii="Times New Roman" w:hAnsi="Times New Roman" w:eastAsia="宋体" w:cs="Times New Roman"/>
                <w:bCs/>
                <w:color w:val="000000" w:themeColor="text1"/>
                <w:sz w:val="20"/>
                <w:szCs w:val="20"/>
                <w:highlight w:val="none"/>
                <w14:textFill>
                  <w14:solidFill>
                    <w14:schemeClr w14:val="tx1"/>
                  </w14:solidFill>
                </w14:textFill>
              </w:rPr>
              <w:t xml:space="preserve">Option 1: </w:t>
            </w:r>
            <w:r>
              <w:rPr>
                <w:rFonts w:hint="default" w:ascii="Times New Roman" w:hAnsi="Times New Roman" w:eastAsia="宋体" w:cs="Times New Roman"/>
                <w:color w:val="000000" w:themeColor="text1"/>
                <w:sz w:val="20"/>
                <w:szCs w:val="20"/>
                <w:highlight w:val="none"/>
                <w14:textFill>
                  <w14:solidFill>
                    <w14:schemeClr w14:val="tx1"/>
                  </w14:solidFill>
                </w14:textFill>
              </w:rPr>
              <w:t xml:space="preserve">RAN4 to define a new UE capability for Event Triggering and Reporting Criteria for LTM. </w:t>
            </w:r>
            <w:r>
              <w:rPr>
                <w:rFonts w:hint="default" w:ascii="Times New Roman" w:hAnsi="Times New Roman" w:eastAsia="宋体" w:cs="Times New Roman"/>
                <w:bCs/>
                <w:color w:val="000000" w:themeColor="text1"/>
                <w:sz w:val="20"/>
                <w:szCs w:val="20"/>
                <w:highlight w:val="none"/>
                <w14:textFill>
                  <w14:solidFill>
                    <w14:schemeClr w14:val="tx1"/>
                  </w14:solidFill>
                </w14:textFill>
              </w:rPr>
              <w:t>(Xiaomi, CMCC, ZTE, E///, CTC)</w:t>
            </w:r>
          </w:p>
          <w:p w14:paraId="607ECEF2">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14:textFill>
                  <w14:solidFill>
                    <w14:schemeClr w14:val="tx1"/>
                  </w14:solidFill>
                </w14:textFill>
              </w:rPr>
            </w:pPr>
            <w:r>
              <w:rPr>
                <w:rFonts w:hint="default" w:ascii="Times New Roman" w:hAnsi="Times New Roman" w:eastAsia="宋体" w:cs="Times New Roman"/>
                <w:bCs/>
                <w:color w:val="000000" w:themeColor="text1"/>
                <w:sz w:val="20"/>
                <w:szCs w:val="20"/>
                <w:highlight w:val="none"/>
                <w14:textFill>
                  <w14:solidFill>
                    <w14:schemeClr w14:val="tx1"/>
                  </w14:solidFill>
                </w14:textFill>
              </w:rPr>
              <w:t>Option 1a: Yes. RAN4 to support a common LTM Ecat capability to be shared between intra- and inter-frequency candidate cells. Ecat capability for LTM L1 measurements includes both PCell event, and candidate cells’ events. The detail number of Ecat is FFS. (E///)</w:t>
            </w:r>
          </w:p>
          <w:p w14:paraId="5114ACFB">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14:textFill>
                  <w14:solidFill>
                    <w14:schemeClr w14:val="tx1"/>
                  </w14:solidFill>
                </w14:textFill>
              </w:rPr>
            </w:pPr>
            <w:r>
              <w:rPr>
                <w:rFonts w:hint="default" w:ascii="Times New Roman" w:hAnsi="Times New Roman" w:eastAsia="宋体" w:cs="Times New Roman"/>
                <w:bCs/>
                <w:color w:val="000000" w:themeColor="text1"/>
                <w:sz w:val="20"/>
                <w:szCs w:val="20"/>
                <w:highlight w:val="none"/>
                <w14:textFill>
                  <w14:solidFill>
                    <w14:schemeClr w14:val="tx1"/>
                  </w14:solidFill>
                </w14:textFill>
              </w:rPr>
              <w:t>Option 2: RAN4 to update intra-frequency and inter-frequency measurement reporting criteria requirements for SSB and CSI-RS based L1-RSRP with the same E</w:t>
            </w:r>
            <w:r>
              <w:rPr>
                <w:rFonts w:hint="default" w:ascii="Times New Roman" w:hAnsi="Times New Roman" w:eastAsia="宋体" w:cs="Times New Roman"/>
                <w:bCs/>
                <w:color w:val="000000" w:themeColor="text1"/>
                <w:sz w:val="20"/>
                <w:szCs w:val="20"/>
                <w:highlight w:val="none"/>
                <w:vertAlign w:val="subscript"/>
                <w14:textFill>
                  <w14:solidFill>
                    <w14:schemeClr w14:val="tx1"/>
                  </w14:solidFill>
                </w14:textFill>
              </w:rPr>
              <w:t>cat.</w:t>
            </w:r>
            <w:r>
              <w:rPr>
                <w:rFonts w:hint="default" w:ascii="Times New Roman" w:hAnsi="Times New Roman" w:eastAsia="宋体" w:cs="Times New Roman"/>
                <w:bCs/>
                <w:color w:val="000000" w:themeColor="text1"/>
                <w:sz w:val="20"/>
                <w:szCs w:val="20"/>
                <w:highlight w:val="none"/>
                <w14:textFill>
                  <w14:solidFill>
                    <w14:schemeClr w14:val="tx1"/>
                  </w14:solidFill>
                </w14:textFill>
              </w:rPr>
              <w:t xml:space="preserve"> (OPPO)</w:t>
            </w:r>
          </w:p>
          <w:p w14:paraId="139BDEAA">
            <w:pPr>
              <w:rPr>
                <w:rFonts w:hint="default" w:ascii="Times New Roman" w:hAnsi="Times New Roman" w:cs="Times New Roman"/>
                <w:sz w:val="20"/>
                <w:szCs w:val="20"/>
                <w:highlight w:val="none"/>
              </w:rPr>
            </w:pPr>
          </w:p>
          <w:p w14:paraId="213CF20D">
            <w:pPr>
              <w:pStyle w:val="5"/>
              <w:numPr>
                <w:ilvl w:val="0"/>
                <w:numId w:val="0"/>
              </w:numPr>
              <w:tabs>
                <w:tab w:val="left" w:pos="432"/>
                <w:tab w:val="clear" w:pos="864"/>
              </w:tabs>
              <w:rPr>
                <w:rFonts w:hint="default" w:ascii="Times New Roman" w:hAnsi="Times New Roman" w:cs="Times New Roman"/>
                <w:b/>
                <w:bCs/>
                <w:sz w:val="20"/>
                <w:szCs w:val="20"/>
                <w:highlight w:val="none"/>
                <w:u w:val="single"/>
                <w:lang w:val="en-US"/>
              </w:rPr>
            </w:pPr>
            <w:r>
              <w:rPr>
                <w:rFonts w:hint="default" w:ascii="Times New Roman" w:hAnsi="Times New Roman" w:cs="Times New Roman"/>
                <w:b/>
                <w:bCs/>
                <w:sz w:val="20"/>
                <w:szCs w:val="20"/>
                <w:highlight w:val="none"/>
                <w:u w:val="single"/>
                <w:lang w:val="en-US"/>
              </w:rPr>
              <w:t>Issue 2-5: whether and how to coordinate with R19 MIMO</w:t>
            </w:r>
          </w:p>
          <w:p w14:paraId="568326F0">
            <w:pPr>
              <w:spacing w:after="120"/>
              <w:rPr>
                <w:rFonts w:hint="default" w:ascii="Times New Roman" w:hAnsi="Times New Roman" w:cs="Times New Roman"/>
                <w:b/>
                <w:bCs/>
                <w:color w:val="000000" w:themeColor="text1"/>
                <w:sz w:val="20"/>
                <w:szCs w:val="20"/>
                <w:highlight w:val="none"/>
                <w14:textFill>
                  <w14:solidFill>
                    <w14:schemeClr w14:val="tx1"/>
                  </w14:solidFill>
                </w14:textFill>
              </w:rPr>
            </w:pPr>
            <w:r>
              <w:rPr>
                <w:rFonts w:hint="default" w:ascii="Times New Roman" w:hAnsi="Times New Roman" w:cs="Times New Roman"/>
                <w:b/>
                <w:bCs/>
                <w:color w:val="000000" w:themeColor="text1"/>
                <w:sz w:val="20"/>
                <w:szCs w:val="20"/>
                <w:highlight w:val="none"/>
                <w14:textFill>
                  <w14:solidFill>
                    <w14:schemeClr w14:val="tx1"/>
                  </w14:solidFill>
                </w14:textFill>
              </w:rPr>
              <w:t>Agreement:</w:t>
            </w:r>
          </w:p>
          <w:p w14:paraId="0079961D">
            <w:pPr>
              <w:numPr>
                <w:ilvl w:val="0"/>
                <w:numId w:val="4"/>
              </w:numPr>
              <w:rPr>
                <w:rFonts w:hint="default" w:ascii="Times New Roman" w:hAnsi="Times New Roman" w:cs="Times New Roman"/>
                <w:color w:val="000000" w:themeColor="text1"/>
                <w:sz w:val="20"/>
                <w:szCs w:val="20"/>
                <w:highlight w:val="none"/>
                <w:lang w:val="zh-CN"/>
                <w14:textFill>
                  <w14:solidFill>
                    <w14:schemeClr w14:val="tx1"/>
                  </w14:solidFill>
                </w14:textFill>
              </w:rPr>
            </w:pPr>
            <w:r>
              <w:rPr>
                <w:rFonts w:hint="default" w:ascii="Times New Roman" w:hAnsi="Times New Roman" w:cs="Times New Roman"/>
                <w:color w:val="000000" w:themeColor="text1"/>
                <w:sz w:val="20"/>
                <w:szCs w:val="20"/>
                <w:highlight w:val="none"/>
                <w:lang w:val="zh-CN"/>
                <w14:textFill>
                  <w14:solidFill>
                    <w14:schemeClr w14:val="tx1"/>
                  </w14:solidFill>
                </w14:textFill>
              </w:rPr>
              <w:t>RAN4 shall develop the two features independently at current stage. Further discussion on common capability is allowed when discussing UE feature list of R19.</w:t>
            </w:r>
          </w:p>
          <w:p w14:paraId="20AE85AA">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highlight w:val="none"/>
                <w:vertAlign w:val="baseline"/>
                <w:lang w:val="en-US" w:eastAsia="zh-CN"/>
              </w:rPr>
            </w:pPr>
          </w:p>
        </w:tc>
      </w:tr>
    </w:tbl>
    <w:p w14:paraId="694610C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461E0B0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However,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LS to RAN1 can be considered if necessary.</w:t>
      </w:r>
    </w:p>
    <w:p w14:paraId="2DEC9E9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If it is agreed to define capability for supported number of events triggered L1 measurement reporting in RAN4, the related issue is how to define the capabilities for support of event triggering L1 measurement reporting, whether to update L3 capability or to define a seperate capability for L1 measurement reporting. In our view, a seperate capability is prefered. It is not a good way to replace or update legacy capability for event triggered L3 measurement reporting. For Rel-18 LTM measurement, the requirements are applied with the condition that the cell is known, which means that L3 measurement need to be configured. And also, network may adjust LTM configuration based on L3 measurement report.</w:t>
      </w:r>
    </w:p>
    <w:p w14:paraId="0D3D0E4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If it is agreed to define capability for supported number of events triggered L1 measurement reporting in RAN4,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to avoid the impact on L3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17171AD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bookmarkEnd w:id="6"/>
    <w:bookmarkEnd w:id="7"/>
    <w:p w14:paraId="5187A4B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46578F3">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event triggered L1 measurement reporting. The proposals are:</w:t>
      </w:r>
    </w:p>
    <w:p w14:paraId="14612BA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default" w:ascii="Times New Roman" w:hAnsi="Times New Roman" w:cs="Times New Roman"/>
          <w:b/>
          <w:bCs/>
          <w:i/>
          <w:iCs/>
          <w:sz w:val="20"/>
          <w:szCs w:val="20"/>
        </w:rPr>
        <w:t xml:space="preserve">If the event is triggered by the </w:t>
      </w:r>
      <w:r>
        <w:rPr>
          <w:rFonts w:hint="eastAsia" w:ascii="Times New Roman" w:hAnsi="Times New Roman" w:cs="Times New Roman"/>
          <w:b/>
          <w:bCs/>
          <w:i/>
          <w:iCs/>
          <w:sz w:val="20"/>
          <w:szCs w:val="20"/>
          <w:lang w:val="en-US" w:eastAsia="zh-CN"/>
        </w:rPr>
        <w:t>serving cell</w:t>
      </w:r>
      <w:r>
        <w:rPr>
          <w:rFonts w:hint="default" w:ascii="Times New Roman" w:hAnsi="Times New Roman" w:cs="Times New Roman"/>
          <w:b/>
          <w:bCs/>
          <w:i/>
          <w:iCs/>
          <w:sz w:val="20"/>
          <w:szCs w:val="20"/>
        </w:rPr>
        <w:t xml:space="preserve"> measurement, </w:t>
      </w:r>
      <w:r>
        <w:rPr>
          <w:rFonts w:hint="eastAsia"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rPr>
        <w:t xml:space="preserve">he event triggered measurement reporting delay shall be no larger than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w:t>
      </w:r>
      <w:r>
        <w:rPr>
          <w:rFonts w:hint="eastAsia" w:ascii="Times New Roman" w:hAnsi="Times New Roman" w:cs="Times New Roman"/>
          <w:b/>
          <w:bCs/>
          <w:i/>
          <w:iCs/>
          <w:sz w:val="20"/>
          <w:szCs w:val="20"/>
          <w:vertAlign w:val="subscript"/>
          <w:lang w:val="en-US" w:eastAsia="zh-CN"/>
        </w:rPr>
        <w:t>serving cell</w:t>
      </w:r>
      <w:r>
        <w:rPr>
          <w:rFonts w:hint="default" w:ascii="Times New Roman" w:hAnsi="Times New Roman" w:cs="Times New Roman"/>
          <w:b/>
          <w:bCs/>
          <w:i/>
          <w:iCs/>
          <w:sz w:val="20"/>
          <w:szCs w:val="20"/>
        </w:rPr>
        <w:t>. If the event is triggered by the</w:t>
      </w:r>
      <w:r>
        <w:rPr>
          <w:rFonts w:hint="eastAsia" w:ascii="Times New Roman" w:hAnsi="Times New Roman" w:cs="Times New Roman"/>
          <w:b/>
          <w:bCs/>
          <w:i/>
          <w:iCs/>
          <w:sz w:val="20"/>
          <w:szCs w:val="20"/>
          <w:lang w:val="en-US" w:eastAsia="zh-CN"/>
        </w:rPr>
        <w:t xml:space="preserve"> candidate cell</w:t>
      </w:r>
      <w:r>
        <w:rPr>
          <w:rFonts w:hint="default" w:ascii="Times New Roman" w:hAnsi="Times New Roman" w:cs="Times New Roman"/>
          <w:b/>
          <w:bCs/>
          <w:i/>
          <w:iCs/>
          <w:sz w:val="20"/>
          <w:szCs w:val="20"/>
        </w:rPr>
        <w:t xml:space="preserve"> measurement, </w:t>
      </w:r>
      <w:r>
        <w:rPr>
          <w:rFonts w:hint="eastAsia"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rPr>
        <w:t xml:space="preserve">he event triggered measurement reporting delay shall be no larger than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periods_candidate cell</w:t>
      </w:r>
      <w:r>
        <w:rPr>
          <w:rFonts w:hint="default" w:ascii="Times New Roman" w:hAnsi="Times New Roman" w:cs="Times New Roman"/>
          <w:b/>
          <w:bCs/>
          <w:i/>
          <w:iCs/>
          <w:sz w:val="20"/>
          <w:szCs w:val="20"/>
        </w:rPr>
        <w:t>.</w:t>
      </w:r>
    </w:p>
    <w:p w14:paraId="5EB3D96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If it is agreed to define capability for supported number of events triggered L1 measurement reporting in RAN4, it is proposed to define a separate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to avoid the impact on L3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w:t>
      </w:r>
    </w:p>
    <w:p w14:paraId="7A62403F">
      <w:pPr>
        <w:tabs>
          <w:tab w:val="left" w:pos="1134"/>
        </w:tabs>
        <w:spacing w:after="180" w:line="240" w:lineRule="exact"/>
        <w:rPr>
          <w:rFonts w:hint="eastAsia" w:ascii="Times New Roman" w:hAnsi="Times New Roman"/>
          <w:sz w:val="20"/>
          <w:szCs w:val="20"/>
          <w:highlight w:val="none"/>
        </w:rPr>
      </w:pPr>
    </w:p>
    <w:p w14:paraId="6F7B87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14CA13B">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038FF42">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162311B2">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R4-2504965</w:t>
      </w:r>
      <w:r>
        <w:rPr>
          <w:rFonts w:hint="eastAsia" w:ascii="Times" w:hAnsi="Times" w:eastAsia="宋体"/>
          <w:b w:val="0"/>
          <w:sz w:val="20"/>
          <w:lang w:val="en-US" w:eastAsia="zh-CN"/>
        </w:rPr>
        <w:t>, WF on RRM requirements for NR_Mob_Ph4_Part1, Apple</w:t>
      </w:r>
    </w:p>
    <w:p w14:paraId="53BBFF74">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73D8EA6D">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2FFCE10F">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518264ED">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45D6D25B">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45121B7F">
      <w:pPr>
        <w:pStyle w:val="18"/>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A46E657">
      <w:pPr>
        <w:pStyle w:val="18"/>
        <w:framePr w:wrap="auto" w:vAnchor="margin" w:hAnchor="text" w:yAlign="inline"/>
        <w:ind w:right="400"/>
        <w:jc w:val="both"/>
        <w:rPr>
          <w:rFonts w:hint="eastAsia" w:ascii="Times" w:hAnsi="Times" w:eastAsia="宋体"/>
          <w:b w:val="0"/>
          <w:sz w:val="20"/>
          <w:lang w:val="en-US" w:eastAsia="zh-CN"/>
        </w:rPr>
      </w:pPr>
    </w:p>
    <w:p w14:paraId="6138FC7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EB194B"/>
    <w:multiLevelType w:val="singleLevel"/>
    <w:tmpl w:val="A2EB194B"/>
    <w:lvl w:ilvl="0" w:tentative="0">
      <w:start w:val="1"/>
      <w:numFmt w:val="bullet"/>
      <w:lvlText w:val=""/>
      <w:lvlJc w:val="left"/>
      <w:pPr>
        <w:ind w:left="42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8B8"/>
    <w:rsid w:val="024F1D10"/>
    <w:rsid w:val="03C54999"/>
    <w:rsid w:val="061B2869"/>
    <w:rsid w:val="06DB0A8F"/>
    <w:rsid w:val="07195F0C"/>
    <w:rsid w:val="0C811890"/>
    <w:rsid w:val="0DED4141"/>
    <w:rsid w:val="1097653D"/>
    <w:rsid w:val="114C53CF"/>
    <w:rsid w:val="12BE134B"/>
    <w:rsid w:val="17CF1E32"/>
    <w:rsid w:val="1A610400"/>
    <w:rsid w:val="1D245D5D"/>
    <w:rsid w:val="20716758"/>
    <w:rsid w:val="22EF5A05"/>
    <w:rsid w:val="23555288"/>
    <w:rsid w:val="23A45F21"/>
    <w:rsid w:val="2B6A5B72"/>
    <w:rsid w:val="2C5A7F66"/>
    <w:rsid w:val="30C469A5"/>
    <w:rsid w:val="3A094EC7"/>
    <w:rsid w:val="3B78668C"/>
    <w:rsid w:val="3C8464D4"/>
    <w:rsid w:val="3DE6740A"/>
    <w:rsid w:val="409969B6"/>
    <w:rsid w:val="44192E3A"/>
    <w:rsid w:val="443F297C"/>
    <w:rsid w:val="4585185F"/>
    <w:rsid w:val="473507D2"/>
    <w:rsid w:val="4ACD5D3A"/>
    <w:rsid w:val="4D34553A"/>
    <w:rsid w:val="54975669"/>
    <w:rsid w:val="54C2149E"/>
    <w:rsid w:val="56551307"/>
    <w:rsid w:val="5681017A"/>
    <w:rsid w:val="56BE73D2"/>
    <w:rsid w:val="5A6C76F1"/>
    <w:rsid w:val="5A84202D"/>
    <w:rsid w:val="5D2F6C90"/>
    <w:rsid w:val="5DD75D7F"/>
    <w:rsid w:val="618D4782"/>
    <w:rsid w:val="62B40F62"/>
    <w:rsid w:val="63A65A71"/>
    <w:rsid w:val="63D11CD0"/>
    <w:rsid w:val="63FF12A3"/>
    <w:rsid w:val="6514284A"/>
    <w:rsid w:val="66B81714"/>
    <w:rsid w:val="67360C57"/>
    <w:rsid w:val="6DE36C58"/>
    <w:rsid w:val="6F8A1747"/>
    <w:rsid w:val="72901CD2"/>
    <w:rsid w:val="735F40D6"/>
    <w:rsid w:val="7523162A"/>
    <w:rsid w:val="78F4247E"/>
    <w:rsid w:val="7B09796A"/>
    <w:rsid w:val="7C401BE6"/>
    <w:rsid w:val="7FC00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2025-05-09T08:17:48Z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